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AIESEC in Semarang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Cluster. Rupadhatu, Perum. Griya Borobudur Jl. Mulawarman Utara No.6D7, Kramas, Kес. Tembalang, Kota Semarang, Jawa Tengah 50278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Native English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Education background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Have Language teaching (required)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French Teacher in GD Goenka Global School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Have language teaching (required)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French (required) english (required)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Marketing Manager in BESCO OTOMOTIV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Background: marketing, skills: market research language: spanish and english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Export Sales and Engineering in EUROTRAY Company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Background: Mechanical Engineering/Electrical in Engineering/Sales.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Skills: salesforce and sales. Language: English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Music Teacher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Background: education.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Skills: team management, leadership, adaptability, creativity. language: english.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620"/>
              </w:tabs>
              <w:ind w:hanging="2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Fullstack Developer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left"/>
              <w:rPr>
                <w:rFonts w:ascii="Palatino Linotype" w:cs="Palatino Linotype" w:eastAsia="Palatino Linotype" w:hAnsi="Palatino Linotype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Skills: MongoB, PHP, Python, Node.js, Java, C++, PostgreSQL MySQL Languages: English.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ipQBW1OIQ0CkghsbnzVvGFMpA==">CgMxLjA4AHIhMVFmakZzUlM2OXp5TktHMFJXaU50eGVoTUIxajQ5Y3ZB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